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Permit to dig</w:t>
      </w:r>
    </w:p>
    <w:p>
      <w:pPr>
        <w:pStyle w:val="Subtitle"/>
      </w:pPr>
      <w:r>
        <w:t xml:space="preserve">Blank permit for one excavation where there may be underground services.</w:t>
      </w:r>
    </w:p>
    <w:p>
      <w:pPr>
        <w:pStyle w:val="Prompt"/>
      </w:pPr>
      <w:r>
        <w:t xml:space="preserve">HSE guidance says a permit system may be appropriate for particularly hazardous work near underground services. Whether or not you use one, digging near underground services needs a safe system of work: plan the work, find and mark the services, and dig safely.</w:t>
      </w:r>
    </w:p>
    <w:p>
      <w:pPr>
        <w:pStyle w:val="Heading1"/>
      </w:pPr>
      <w:r>
        <w:t xml:space="preserve">The work</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Permit number</w:t>
            </w:r>
          </w:p>
        </w:tc>
        <w:tc>
          <w:tcPr>
            <w:tcW w:w="2889" w:type="dxa"/>
          </w:tcPr>
          <w:p>
            <w:pPr>
              <w:pStyle w:val="Cell"/>
            </w:pPr>
          </w:p>
        </w:tc>
        <w:tc>
          <w:tcPr>
            <w:tcW w:w="2269" w:type="dxa"/>
            <w:shd w:val="clear" w:color="auto" w:fill="EEF1F5"/>
          </w:tcPr>
          <w:p>
            <w:pPr>
              <w:pStyle w:val="Cell"/>
            </w:pPr>
            <w:r>
              <w:rPr>
                <w:b/>
              </w:rPr>
              <w:t xml:space="preserve">Site address</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Location and extent of the dig</w:t>
            </w:r>
          </w:p>
        </w:tc>
        <w:tc>
          <w:tcPr>
            <w:tcW w:w="2889" w:type="dxa"/>
          </w:tcPr>
          <w:p>
            <w:pPr>
              <w:pStyle w:val="Cell"/>
            </w:pPr>
          </w:p>
        </w:tc>
        <w:tc>
          <w:tcPr>
            <w:tcW w:w="2269" w:type="dxa"/>
            <w:shd w:val="clear" w:color="auto" w:fill="EEF1F5"/>
          </w:tcPr>
          <w:p>
            <w:pPr>
              <w:pStyle w:val="Cell"/>
            </w:pPr>
            <w:r>
              <w:rPr>
                <w:b/>
              </w:rPr>
              <w:t xml:space="preserve">Work to be done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Maximum depth</w:t>
            </w:r>
          </w:p>
        </w:tc>
        <w:tc>
          <w:tcPr>
            <w:tcW w:w="2889" w:type="dxa"/>
          </w:tcPr>
          <w:p>
            <w:pPr>
              <w:pStyle w:val="Cell"/>
            </w:pPr>
          </w:p>
        </w:tc>
        <w:tc>
          <w:tcPr>
            <w:tcW w:w="2269" w:type="dxa"/>
            <w:shd w:val="clear" w:color="auto" w:fill="EEF1F5"/>
          </w:tcPr>
          <w:p>
            <w:pPr>
              <w:pStyle w:val="Cell"/>
            </w:pPr>
            <w:r>
              <w:rPr>
                <w:b/>
              </w:rPr>
              <w:t xml:space="preserve">Digging method</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Person in charge of the dig</w:t>
            </w:r>
          </w:p>
        </w:tc>
        <w:tc>
          <w:tcPr>
            <w:tcW w:w="2889" w:type="dxa"/>
          </w:tcPr>
          <w:p>
            <w:pPr>
              <w:pStyle w:val="Cell"/>
            </w:pPr>
          </w:p>
        </w:tc>
        <w:tc>
          <w:tcPr>
            <w:tcW w:w="2269" w:type="dxa"/>
            <w:shd w:val="clear" w:color="auto" w:fill="EEF1F5"/>
          </w:tcPr>
          <w:p>
            <w:pPr>
              <w:pStyle w:val="Cell"/>
            </w:pPr>
            <w:r>
              <w:rPr>
                <w:b/>
              </w:rPr>
              <w:t xml:space="preserve">Company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Valid from (date and time)</w:t>
            </w:r>
          </w:p>
        </w:tc>
        <w:tc>
          <w:tcPr>
            <w:tcW w:w="2889" w:type="dxa"/>
          </w:tcPr>
          <w:p>
            <w:pPr>
              <w:pStyle w:val="Cell"/>
            </w:pPr>
          </w:p>
        </w:tc>
        <w:tc>
          <w:tcPr>
            <w:tcW w:w="2269" w:type="dxa"/>
            <w:shd w:val="clear" w:color="auto" w:fill="EEF1F5"/>
          </w:tcPr>
          <w:p>
            <w:pPr>
              <w:pStyle w:val="Cell"/>
            </w:pPr>
            <w:r>
              <w:rPr>
                <w:b/>
              </w:rPr>
              <w:t xml:space="preserve">Valid until (date and time)</w:t>
            </w:r>
          </w:p>
        </w:tc>
        <w:tc>
          <w:tcPr>
            <w:tcW w:w="2891"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Sketch of the dig and the services found (or attach a marked-up drawing)</w:t>
            </w:r>
          </w:p>
        </w:tc>
      </w:tr>
      <w:tr>
        <w:trPr>
          <w:cantSplit/>
          <w:trHeight w:val="1140" w:hRule="atLeast"/>
        </w:trPr>
        <w:tc>
          <w:tcPr>
            <w:tcW w:w="10318" w:type="dxa"/>
          </w:tcPr>
          <w:p>
            <w:pPr>
              <w:pStyle w:val="Cell"/>
            </w:pPr>
          </w:p>
        </w:tc>
      </w:tr>
    </w:tbl>
    <w:p>
      <w:pPr>
        <w:spacing w:before="0" w:after="0" w:line="200" w:lineRule="exact"/>
      </w:pPr>
    </w:p>
    <w:p>
      <w:pPr>
        <w:pStyle w:val="Heading1"/>
      </w:pPr>
      <w:r>
        <w:t xml:space="preserve">Information about services</w:t>
      </w:r>
    </w:p>
    <w:p>
      <w:pPr>
        <w:pStyle w:val="Prompt"/>
      </w:pPr>
      <w:r>
        <w:t xml:space="preserve">Ask the owners of underground services for plans or other information before work starts. Plans alone are not enough to locate services, and may not show every service connection.</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095"/>
        <w:gridCol w:w="1547"/>
        <w:gridCol w:w="1547"/>
        <w:gridCol w:w="1238"/>
        <w:gridCol w:w="2891"/>
      </w:tblGrid>
      <w:tr>
        <w:trPr>
          <w:tblHeader/>
          <w:cantSplit/>
        </w:trPr>
        <w:tc>
          <w:tcPr>
            <w:tcW w:w="3095" w:type="dxa"/>
            <w:shd w:val="clear" w:color="auto" w:fill="EEF1F5"/>
          </w:tcPr>
          <w:p>
            <w:pPr>
              <w:pStyle w:val="Cell"/>
            </w:pPr>
            <w:r>
              <w:rPr>
                <w:b/>
              </w:rPr>
              <w:t xml:space="preserve">Service</w:t>
            </w:r>
          </w:p>
        </w:tc>
        <w:tc>
          <w:tcPr>
            <w:tcW w:w="1547" w:type="dxa"/>
            <w:shd w:val="clear" w:color="auto" w:fill="EEF1F5"/>
          </w:tcPr>
          <w:p>
            <w:pPr>
              <w:pStyle w:val="Cell"/>
            </w:pPr>
            <w:r>
              <w:rPr>
                <w:b/>
              </w:rPr>
              <w:t xml:space="preserve">Plans obtained</w:t>
            </w:r>
          </w:p>
        </w:tc>
        <w:tc>
          <w:tcPr>
            <w:tcW w:w="1547" w:type="dxa"/>
            <w:shd w:val="clear" w:color="auto" w:fill="EEF1F5"/>
          </w:tcPr>
          <w:p>
            <w:pPr>
              <w:pStyle w:val="Cell"/>
            </w:pPr>
            <w:r>
              <w:rPr>
                <w:b/>
              </w:rPr>
              <w:t xml:space="preserve">Located on site</w:t>
            </w:r>
          </w:p>
        </w:tc>
        <w:tc>
          <w:tcPr>
            <w:tcW w:w="1238" w:type="dxa"/>
            <w:shd w:val="clear" w:color="auto" w:fill="EEF1F5"/>
          </w:tcPr>
          <w:p>
            <w:pPr>
              <w:pStyle w:val="Cell"/>
            </w:pPr>
            <w:r>
              <w:rPr>
                <w:b/>
              </w:rPr>
              <w:t xml:space="preserve">Marked</w:t>
            </w:r>
          </w:p>
        </w:tc>
        <w:tc>
          <w:tcPr>
            <w:tcW w:w="2891" w:type="dxa"/>
            <w:shd w:val="clear" w:color="auto" w:fill="EEF1F5"/>
          </w:tcPr>
          <w:p>
            <w:pPr>
              <w:pStyle w:val="Cell"/>
            </w:pPr>
            <w:r>
              <w:rPr>
                <w:b/>
              </w:rPr>
              <w:t xml:space="preserve">Notes</w:t>
            </w:r>
          </w:p>
        </w:tc>
      </w:tr>
      <w:tr>
        <w:trPr>
          <w:cantSplit/>
          <w:trHeight w:val="425" w:hRule="atLeast"/>
        </w:trPr>
        <w:tc>
          <w:tcPr>
            <w:tcW w:w="3095" w:type="dxa"/>
          </w:tcPr>
          <w:p>
            <w:pPr>
              <w:pStyle w:val="Cell"/>
            </w:pPr>
            <w:r>
              <w:rPr>
                <w:b/>
              </w:rPr>
              <w:t xml:space="preserve">Electricity</w:t>
            </w:r>
          </w:p>
        </w:tc>
        <w:tc>
          <w:tcPr>
            <w:tcW w:w="1547" w:type="dxa"/>
          </w:tcPr>
          <w:p>
            <w:pPr>
              <w:pStyle w:val="Cell"/>
            </w:pPr>
          </w:p>
        </w:tc>
        <w:tc>
          <w:tcPr>
            <w:tcW w:w="1547" w:type="dxa"/>
          </w:tcPr>
          <w:p>
            <w:pPr>
              <w:pStyle w:val="Cell"/>
            </w:pPr>
          </w:p>
        </w:tc>
        <w:tc>
          <w:tcPr>
            <w:tcW w:w="1238" w:type="dxa"/>
          </w:tcPr>
          <w:p>
            <w:pPr>
              <w:pStyle w:val="Cell"/>
            </w:pPr>
          </w:p>
        </w:tc>
        <w:tc>
          <w:tcPr>
            <w:tcW w:w="2891" w:type="dxa"/>
          </w:tcPr>
          <w:p>
            <w:pPr>
              <w:pStyle w:val="Cell"/>
            </w:pPr>
          </w:p>
        </w:tc>
      </w:tr>
      <w:tr>
        <w:trPr>
          <w:cantSplit/>
          <w:trHeight w:val="425" w:hRule="atLeast"/>
        </w:trPr>
        <w:tc>
          <w:tcPr>
            <w:tcW w:w="3095" w:type="dxa"/>
          </w:tcPr>
          <w:p>
            <w:pPr>
              <w:pStyle w:val="Cell"/>
            </w:pPr>
            <w:r>
              <w:rPr>
                <w:b/>
              </w:rPr>
              <w:t xml:space="preserve">Gas</w:t>
            </w:r>
          </w:p>
        </w:tc>
        <w:tc>
          <w:tcPr>
            <w:tcW w:w="1547" w:type="dxa"/>
          </w:tcPr>
          <w:p>
            <w:pPr>
              <w:pStyle w:val="Cell"/>
            </w:pPr>
          </w:p>
        </w:tc>
        <w:tc>
          <w:tcPr>
            <w:tcW w:w="1547" w:type="dxa"/>
          </w:tcPr>
          <w:p>
            <w:pPr>
              <w:pStyle w:val="Cell"/>
            </w:pPr>
          </w:p>
        </w:tc>
        <w:tc>
          <w:tcPr>
            <w:tcW w:w="1238" w:type="dxa"/>
          </w:tcPr>
          <w:p>
            <w:pPr>
              <w:pStyle w:val="Cell"/>
            </w:pPr>
          </w:p>
        </w:tc>
        <w:tc>
          <w:tcPr>
            <w:tcW w:w="2891" w:type="dxa"/>
          </w:tcPr>
          <w:p>
            <w:pPr>
              <w:pStyle w:val="Cell"/>
            </w:pPr>
          </w:p>
        </w:tc>
      </w:tr>
      <w:tr>
        <w:trPr>
          <w:cantSplit/>
          <w:trHeight w:val="425" w:hRule="atLeast"/>
        </w:trPr>
        <w:tc>
          <w:tcPr>
            <w:tcW w:w="3095" w:type="dxa"/>
          </w:tcPr>
          <w:p>
            <w:pPr>
              <w:pStyle w:val="Cell"/>
            </w:pPr>
            <w:r>
              <w:rPr>
                <w:b/>
              </w:rPr>
              <w:t xml:space="preserve">Water</w:t>
            </w:r>
          </w:p>
        </w:tc>
        <w:tc>
          <w:tcPr>
            <w:tcW w:w="1547" w:type="dxa"/>
          </w:tcPr>
          <w:p>
            <w:pPr>
              <w:pStyle w:val="Cell"/>
            </w:pPr>
          </w:p>
        </w:tc>
        <w:tc>
          <w:tcPr>
            <w:tcW w:w="1547" w:type="dxa"/>
          </w:tcPr>
          <w:p>
            <w:pPr>
              <w:pStyle w:val="Cell"/>
            </w:pPr>
          </w:p>
        </w:tc>
        <w:tc>
          <w:tcPr>
            <w:tcW w:w="1238" w:type="dxa"/>
          </w:tcPr>
          <w:p>
            <w:pPr>
              <w:pStyle w:val="Cell"/>
            </w:pPr>
          </w:p>
        </w:tc>
        <w:tc>
          <w:tcPr>
            <w:tcW w:w="2891" w:type="dxa"/>
          </w:tcPr>
          <w:p>
            <w:pPr>
              <w:pStyle w:val="Cell"/>
            </w:pPr>
          </w:p>
        </w:tc>
      </w:tr>
      <w:tr>
        <w:trPr>
          <w:cantSplit/>
          <w:trHeight w:val="425" w:hRule="atLeast"/>
        </w:trPr>
        <w:tc>
          <w:tcPr>
            <w:tcW w:w="3095" w:type="dxa"/>
          </w:tcPr>
          <w:p>
            <w:pPr>
              <w:pStyle w:val="Cell"/>
            </w:pPr>
            <w:r>
              <w:rPr>
                <w:b/>
              </w:rPr>
              <w:t xml:space="preserve">Telecoms</w:t>
            </w:r>
          </w:p>
        </w:tc>
        <w:tc>
          <w:tcPr>
            <w:tcW w:w="1547" w:type="dxa"/>
          </w:tcPr>
          <w:p>
            <w:pPr>
              <w:pStyle w:val="Cell"/>
            </w:pPr>
          </w:p>
        </w:tc>
        <w:tc>
          <w:tcPr>
            <w:tcW w:w="1547" w:type="dxa"/>
          </w:tcPr>
          <w:p>
            <w:pPr>
              <w:pStyle w:val="Cell"/>
            </w:pPr>
          </w:p>
        </w:tc>
        <w:tc>
          <w:tcPr>
            <w:tcW w:w="1238" w:type="dxa"/>
          </w:tcPr>
          <w:p>
            <w:pPr>
              <w:pStyle w:val="Cell"/>
            </w:pPr>
          </w:p>
        </w:tc>
        <w:tc>
          <w:tcPr>
            <w:tcW w:w="2891" w:type="dxa"/>
          </w:tcPr>
          <w:p>
            <w:pPr>
              <w:pStyle w:val="Cell"/>
            </w:pPr>
          </w:p>
        </w:tc>
      </w:tr>
      <w:tr>
        <w:trPr>
          <w:cantSplit/>
          <w:trHeight w:val="425" w:hRule="atLeast"/>
        </w:trPr>
        <w:tc>
          <w:tcPr>
            <w:tcW w:w="3095" w:type="dxa"/>
          </w:tcPr>
          <w:p>
            <w:pPr>
              <w:pStyle w:val="Cell"/>
            </w:pPr>
            <w:r>
              <w:rPr>
                <w:b/>
              </w:rPr>
              <w:t xml:space="preserve">Drains and sewers</w:t>
            </w:r>
          </w:p>
        </w:tc>
        <w:tc>
          <w:tcPr>
            <w:tcW w:w="1547" w:type="dxa"/>
          </w:tcPr>
          <w:p>
            <w:pPr>
              <w:pStyle w:val="Cell"/>
            </w:pPr>
          </w:p>
        </w:tc>
        <w:tc>
          <w:tcPr>
            <w:tcW w:w="1547" w:type="dxa"/>
          </w:tcPr>
          <w:p>
            <w:pPr>
              <w:pStyle w:val="Cell"/>
            </w:pPr>
          </w:p>
        </w:tc>
        <w:tc>
          <w:tcPr>
            <w:tcW w:w="1238" w:type="dxa"/>
          </w:tcPr>
          <w:p>
            <w:pPr>
              <w:pStyle w:val="Cell"/>
            </w:pPr>
          </w:p>
        </w:tc>
        <w:tc>
          <w:tcPr>
            <w:tcW w:w="2891" w:type="dxa"/>
          </w:tcPr>
          <w:p>
            <w:pPr>
              <w:pStyle w:val="Cell"/>
            </w:pPr>
          </w:p>
        </w:tc>
      </w:tr>
      <w:tr>
        <w:trPr>
          <w:cantSplit/>
          <w:trHeight w:val="425" w:hRule="atLeast"/>
        </w:trPr>
        <w:tc>
          <w:tcPr>
            <w:tcW w:w="3095" w:type="dxa"/>
          </w:tcPr>
          <w:p>
            <w:pPr>
              <w:pStyle w:val="Cell"/>
            </w:pPr>
            <w:r>
              <w:rPr>
                <w:b/>
              </w:rPr>
              <w:t xml:space="preserve">Other:</w:t>
            </w:r>
          </w:p>
        </w:tc>
        <w:tc>
          <w:tcPr>
            <w:tcW w:w="1547" w:type="dxa"/>
          </w:tcPr>
          <w:p>
            <w:pPr>
              <w:pStyle w:val="Cell"/>
            </w:pPr>
          </w:p>
        </w:tc>
        <w:tc>
          <w:tcPr>
            <w:tcW w:w="1547" w:type="dxa"/>
          </w:tcPr>
          <w:p>
            <w:pPr>
              <w:pStyle w:val="Cell"/>
            </w:pPr>
          </w:p>
        </w:tc>
        <w:tc>
          <w:tcPr>
            <w:tcW w:w="1238" w:type="dxa"/>
          </w:tcPr>
          <w:p>
            <w:pPr>
              <w:pStyle w:val="Cell"/>
            </w:pPr>
          </w:p>
        </w:tc>
        <w:tc>
          <w:tcPr>
            <w:tcW w:w="2891" w:type="dxa"/>
          </w:tcPr>
          <w:p>
            <w:pPr>
              <w:pStyle w:val="Cell"/>
            </w:pPr>
          </w:p>
        </w:tc>
      </w:tr>
    </w:tbl>
    <w:p>
      <w:pPr>
        <w:spacing w:before="0" w:after="0" w:line="200" w:lineRule="exact"/>
      </w:pPr>
    </w:p>
    <w:p>
      <w:pPr>
        <w:pStyle w:val="Heading1"/>
      </w:pPr>
      <w:r>
        <w:t xml:space="preserve">Locating and marking</w:t>
      </w:r>
    </w:p>
    <w:p>
      <w:pPr>
        <w:pStyle w:val="Prompt"/>
      </w:pPr>
      <w:r>
        <w:t xml:space="preserve">Someone with the right experience surveys the whole work area with suitable locating equipment and marks the line of each service found. Use trial holes to confirm a service's position and depth.</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Locating equipment used</w:t>
            </w:r>
          </w:p>
        </w:tc>
        <w:tc>
          <w:tcPr>
            <w:tcW w:w="2889" w:type="dxa"/>
          </w:tcPr>
          <w:p>
            <w:pPr>
              <w:pStyle w:val="Cell"/>
            </w:pPr>
          </w:p>
        </w:tc>
        <w:tc>
          <w:tcPr>
            <w:tcW w:w="2269" w:type="dxa"/>
            <w:shd w:val="clear" w:color="auto" w:fill="EEF1F5"/>
          </w:tcPr>
          <w:p>
            <w:pPr>
              <w:pStyle w:val="Cell"/>
            </w:pPr>
            <w:r>
              <w:rPr>
                <w:b/>
              </w:rPr>
              <w:t xml:space="preserve">Survey carried out by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Date of survey</w:t>
            </w:r>
          </w:p>
        </w:tc>
        <w:tc>
          <w:tcPr>
            <w:tcW w:w="2889" w:type="dxa"/>
          </w:tcPr>
          <w:p>
            <w:pPr>
              <w:pStyle w:val="Cell"/>
            </w:pPr>
          </w:p>
        </w:tc>
        <w:tc>
          <w:tcPr>
            <w:tcW w:w="2269" w:type="dxa"/>
            <w:shd w:val="clear" w:color="auto" w:fill="EEF1F5"/>
          </w:tcPr>
          <w:p>
            <w:pPr>
              <w:pStyle w:val="Cell"/>
            </w:pPr>
            <w:r>
              <w:rPr>
                <w:b/>
              </w:rPr>
              <w:t xml:space="preserve">Trial holes (number and where)</w:t>
            </w:r>
          </w:p>
        </w:tc>
        <w:tc>
          <w:tcPr>
            <w:tcW w:w="2891" w:type="dxa"/>
          </w:tcPr>
          <w:p>
            <w:pPr>
              <w:pStyle w:val="Cell"/>
            </w:pPr>
          </w:p>
        </w:tc>
      </w:tr>
    </w:tbl>
    <w:p>
      <w:pPr>
        <w:spacing w:before="0" w:after="0" w:line="200" w:lineRule="exact"/>
      </w:pPr>
    </w:p>
    <w:p>
      <w:pPr>
        <w:pStyle w:val="Heading1"/>
      </w:pPr>
      <w:r>
        <w:t xml:space="preserve">Safe digging</w:t>
      </w:r>
    </w:p>
    <w:p>
      <w:pPr>
        <w:pStyle w:val="Prompt"/>
      </w:pPr>
      <w:r>
        <w:t xml:space="preserve">Agree the digging method near each service before work starts, then expose services by careful hand digging. Use the locator again often as the dig goes deeper. Never use exposed services as handholds or footholds.</w:t>
      </w:r>
    </w:p>
    <w:p>
      <w:pPr>
        <w:pStyle w:val="Prompt"/>
      </w:pPr>
      <w:r>
        <w:t xml:space="preserve">If a cable is struck, the machine driver stays in the cab. Keep everyone away until the cable owner has made it safe.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6190"/>
        <w:gridCol w:w="928"/>
        <w:gridCol w:w="928"/>
        <w:gridCol w:w="2272"/>
      </w:tblGrid>
      <w:tr>
        <w:trPr>
          <w:tblHeader/>
          <w:cantSplit/>
        </w:trPr>
        <w:tc>
          <w:tcPr>
            <w:tcW w:w="6190" w:type="dxa"/>
            <w:shd w:val="clear" w:color="auto" w:fill="EEF1F5"/>
          </w:tcPr>
          <w:p>
            <w:pPr>
              <w:pStyle w:val="Cell"/>
            </w:pPr>
            <w:r>
              <w:rPr>
                <w:b/>
              </w:rPr>
              <w:t xml:space="preserve">Check</w:t>
            </w:r>
          </w:p>
        </w:tc>
        <w:tc>
          <w:tcPr>
            <w:tcW w:w="928" w:type="dxa"/>
            <w:shd w:val="clear" w:color="auto" w:fill="EEF1F5"/>
          </w:tcPr>
          <w:p>
            <w:pPr>
              <w:pStyle w:val="Cell"/>
            </w:pPr>
            <w:r>
              <w:rPr>
                <w:b/>
              </w:rPr>
              <w:t xml:space="preserve">Yes</w:t>
            </w:r>
          </w:p>
        </w:tc>
        <w:tc>
          <w:tcPr>
            <w:tcW w:w="928" w:type="dxa"/>
            <w:shd w:val="clear" w:color="auto" w:fill="EEF1F5"/>
          </w:tcPr>
          <w:p>
            <w:pPr>
              <w:pStyle w:val="Cell"/>
            </w:pPr>
            <w:r>
              <w:rPr>
                <w:b/>
              </w:rPr>
              <w:t xml:space="preserve">N/A</w:t>
            </w:r>
          </w:p>
        </w:tc>
        <w:tc>
          <w:tcPr>
            <w:tcW w:w="2272" w:type="dxa"/>
            <w:shd w:val="clear" w:color="auto" w:fill="EEF1F5"/>
          </w:tcPr>
          <w:p>
            <w:pPr>
              <w:pStyle w:val="Cell"/>
            </w:pPr>
            <w:r>
              <w:rPr>
                <w:b/>
              </w:rPr>
              <w:t xml:space="preserve">Notes</w:t>
            </w:r>
          </w:p>
        </w:tc>
      </w:tr>
      <w:tr>
        <w:trPr>
          <w:cantSplit/>
          <w:trHeight w:val="425" w:hRule="atLeast"/>
        </w:trPr>
        <w:tc>
          <w:tcPr>
            <w:tcW w:w="6190" w:type="dxa"/>
          </w:tcPr>
          <w:p>
            <w:pPr>
              <w:pStyle w:val="Cell"/>
            </w:pPr>
            <w:r>
              <w:rPr>
                <w:b/>
              </w:rPr>
              <w:t xml:space="preserve">Service plans on site and explained to the dig team</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Services located and marked on the ground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Trial holes confirm position and depth</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Where a machine digs, someone assists the driver from a safe position</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Insulated hand tools for digging near electric cables</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Excavation support, edge protection and a safe way in and out planned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Everyone knows what to do if a service is damaged</w:t>
            </w:r>
          </w:p>
        </w:tc>
        <w:tc>
          <w:tcPr>
            <w:tcW w:w="928" w:type="dxa"/>
          </w:tcPr>
          <w:p>
            <w:pPr>
              <w:pStyle w:val="Cell"/>
            </w:pPr>
          </w:p>
        </w:tc>
        <w:tc>
          <w:tcPr>
            <w:tcW w:w="928" w:type="dxa"/>
          </w:tcPr>
          <w:p>
            <w:pPr>
              <w:pStyle w:val="Cell"/>
            </w:pPr>
          </w:p>
        </w:tc>
        <w:tc>
          <w:tcPr>
            <w:tcW w:w="2272" w:type="dxa"/>
          </w:tcPr>
          <w:p>
            <w:pPr>
              <w:pStyle w:val="Cell"/>
            </w:pPr>
          </w:p>
        </w:tc>
      </w:tr>
    </w:tbl>
    <w:p>
      <w:pPr>
        <w:spacing w:before="0" w:after="0" w:line="200" w:lineRule="exact"/>
      </w:pPr>
    </w:p>
    <w:p>
      <w:pPr>
        <w:pStyle w:val="Heading1"/>
      </w:pPr>
      <w:r>
        <w:t xml:space="preserve">Issue and acceptance</w:t>
      </w:r>
    </w:p>
    <w:p>
      <w:pPr>
        <w:pStyle w:val="Prompt"/>
      </w:pPr>
      <w:r>
        <w:t xml:space="preserve">The issuer signs to confirm the precautions are in place. The person in charge of the work signs to accept the permit, and explains the work, the hazards and the precautions to everyone working under 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Issued by</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Accepted by (person in charge of the work)</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Heading1"/>
      </w:pPr>
      <w:r>
        <w:t xml:space="preserve">Extension or shift handover</w:t>
      </w:r>
    </w:p>
    <w:p>
      <w:pPr>
        <w:pStyle w:val="Prompt"/>
      </w:pPr>
      <w:r>
        <w:t xml:space="preserve">Before the permit is extended or handed to a new person in charge, check the area is still safe to work in, brief the new person and set a new end time.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857"/>
        <w:gridCol w:w="1650"/>
        <w:gridCol w:w="3404"/>
        <w:gridCol w:w="3407"/>
      </w:tblGrid>
      <w:tr>
        <w:trPr>
          <w:tblHeader/>
          <w:cantSplit/>
        </w:trPr>
        <w:tc>
          <w:tcPr>
            <w:tcW w:w="1857" w:type="dxa"/>
            <w:shd w:val="clear" w:color="auto" w:fill="EEF1F5"/>
          </w:tcPr>
          <w:p>
            <w:pPr>
              <w:pStyle w:val="Cell"/>
            </w:pPr>
            <w:r>
              <w:rPr>
                <w:b/>
              </w:rPr>
              <w:t xml:space="preserve">Date and time</w:t>
            </w:r>
          </w:p>
        </w:tc>
        <w:tc>
          <w:tcPr>
            <w:tcW w:w="1650" w:type="dxa"/>
            <w:shd w:val="clear" w:color="auto" w:fill="EEF1F5"/>
          </w:tcPr>
          <w:p>
            <w:pPr>
              <w:pStyle w:val="Cell"/>
            </w:pPr>
            <w:r>
              <w:rPr>
                <w:b/>
              </w:rPr>
              <w:t xml:space="preserve">New end time</w:t>
            </w:r>
          </w:p>
        </w:tc>
        <w:tc>
          <w:tcPr>
            <w:tcW w:w="3404" w:type="dxa"/>
            <w:shd w:val="clear" w:color="auto" w:fill="EEF1F5"/>
          </w:tcPr>
          <w:p>
            <w:pPr>
              <w:pStyle w:val="Cell"/>
            </w:pPr>
            <w:r>
              <w:rPr>
                <w:b/>
              </w:rPr>
              <w:t xml:space="preserve">Handed over by</w:t>
            </w:r>
          </w:p>
        </w:tc>
        <w:tc>
          <w:tcPr>
            <w:tcW w:w="3407" w:type="dxa"/>
            <w:shd w:val="clear" w:color="auto" w:fill="EEF1F5"/>
          </w:tcPr>
          <w:p>
            <w:pPr>
              <w:pStyle w:val="Cell"/>
            </w:pPr>
            <w:r>
              <w:rPr>
                <w:b/>
              </w:rPr>
              <w:t xml:space="preserve">Accepted by</w:t>
            </w:r>
          </w:p>
        </w:tc>
      </w:tr>
      <w:tr>
        <w:trPr>
          <w:cantSplit/>
          <w:trHeight w:val="425" w:hRule="atLeast"/>
        </w:trPr>
        <w:tc>
          <w:tcPr>
            <w:tcW w:w="1857" w:type="dxa"/>
          </w:tcPr>
          <w:p>
            <w:pPr>
              <w:pStyle w:val="Cell"/>
            </w:pPr>
          </w:p>
        </w:tc>
        <w:tc>
          <w:tcPr>
            <w:tcW w:w="1650" w:type="dxa"/>
          </w:tcPr>
          <w:p>
            <w:pPr>
              <w:pStyle w:val="Cell"/>
            </w:pPr>
          </w:p>
        </w:tc>
        <w:tc>
          <w:tcPr>
            <w:tcW w:w="3404" w:type="dxa"/>
          </w:tcPr>
          <w:p>
            <w:pPr>
              <w:pStyle w:val="Cell"/>
            </w:pPr>
          </w:p>
        </w:tc>
        <w:tc>
          <w:tcPr>
            <w:tcW w:w="3407" w:type="dxa"/>
          </w:tcPr>
          <w:p>
            <w:pPr>
              <w:pStyle w:val="Cell"/>
            </w:pPr>
          </w:p>
        </w:tc>
      </w:tr>
      <w:tr>
        <w:trPr>
          <w:cantSplit/>
          <w:trHeight w:val="425" w:hRule="atLeast"/>
        </w:trPr>
        <w:tc>
          <w:tcPr>
            <w:tcW w:w="1857" w:type="dxa"/>
          </w:tcPr>
          <w:p>
            <w:pPr>
              <w:pStyle w:val="Cell"/>
            </w:pPr>
          </w:p>
        </w:tc>
        <w:tc>
          <w:tcPr>
            <w:tcW w:w="1650" w:type="dxa"/>
          </w:tcPr>
          <w:p>
            <w:pPr>
              <w:pStyle w:val="Cell"/>
            </w:pPr>
          </w:p>
        </w:tc>
        <w:tc>
          <w:tcPr>
            <w:tcW w:w="3404" w:type="dxa"/>
          </w:tcPr>
          <w:p>
            <w:pPr>
              <w:pStyle w:val="Cell"/>
            </w:pPr>
          </w:p>
        </w:tc>
        <w:tc>
          <w:tcPr>
            <w:tcW w:w="3407" w:type="dxa"/>
          </w:tcPr>
          <w:p>
            <w:pPr>
              <w:pStyle w:val="Cell"/>
            </w:pPr>
          </w:p>
        </w:tc>
      </w:tr>
    </w:tbl>
    <w:p>
      <w:pPr>
        <w:spacing w:before="0" w:after="0" w:line="200" w:lineRule="exact"/>
      </w:pPr>
    </w:p>
    <w:p>
      <w:pPr>
        <w:pStyle w:val="Heading1"/>
      </w:pPr>
      <w:r>
        <w:t xml:space="preserve">Hand-back and cancellation</w:t>
      </w:r>
    </w:p>
    <w:p>
      <w:pPr>
        <w:pStyle w:val="Prompt"/>
      </w:pPr>
      <w:r>
        <w:t xml:space="preserve">Before backfilling, support and protect exposed services, put any warning tape or tiles back above them, and tell the service owner if their plans were wrong.</w:t>
      </w:r>
    </w:p>
    <w:p>
      <w:pPr>
        <w:pStyle w:val="Prompt"/>
      </w:pPr>
      <w:r>
        <w:t xml:space="preserve">When the work is finished, the person in charge of it signs to hand the permit back. The issuer checks the area and cancels the permit.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Work finished and area left safe</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Permit cancelled by issuer</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Small"/>
        <w:pBdr>
          <w:top w:val="single" w:sz="6" w:space="6" w:color="8A96A3"/>
        </w:pBdr>
        <w:spacing w:before="240" w:after="60"/>
      </w:pPr>
      <w:r>
        <w:rPr>
          <w:b/>
          <w:color w:val="16202C"/>
        </w:rPr>
        <w:t xml:space="preserve">Based on: </w:t>
      </w:r>
      <w:r>
        <w:t xml:space="preserve">HSE guidance HSG47, Avoiding danger from underground services (third edition), paragraphs 22 to 28, 39, 82, 95 to 115, 128 to 135 and 163 to 166; HSE guidance HSG250 on permit-to-work systems.</w:t>
      </w:r>
    </w:p>
    <w:p>
      <w:pPr>
        <w:pStyle w:val="Small"/>
        <w:spacing w:after="20"/>
        <w:ind w:left="227"/>
      </w:pPr>
      <w:r>
        <w:t xml:space="preserve">HSE, Avoiding danger from underground services (HSG47): </w:t>
      </w:r>
      <w:hyperlink r:id="rId5" w:history="1">
        <w:r>
          <w:rPr>
            <w:rStyle w:val="Hyperlink"/>
            <w:sz w:val="16"/>
            <w:szCs w:val="16"/>
          </w:rPr>
          <w:t xml:space="preserve">https://www.hse.gov.uk/pubns/books/hsg47.htm</w:t>
        </w:r>
      </w:hyperlink>
    </w:p>
    <w:p>
      <w:pPr>
        <w:pStyle w:val="Small"/>
        <w:spacing w:after="20"/>
        <w:ind w:left="227"/>
      </w:pPr>
      <w:r>
        <w:t xml:space="preserve">HSE, Guidance on permit-to-work systems (HSG250): </w:t>
      </w:r>
      <w:hyperlink r:id="rId6" w:history="1">
        <w:r>
          <w:rPr>
            <w:rStyle w:val="Hyperlink"/>
            <w:sz w:val="16"/>
            <w:szCs w:val="16"/>
          </w:rPr>
          <w:t xml:space="preserve">https://www.hse.gov.uk/pubns/books/hsg250.htm</w:t>
        </w:r>
      </w:hyperlink>
    </w:p>
    <w:p>
      <w:pPr>
        <w:pStyle w:val="Small"/>
        <w:spacing w:before="60"/>
      </w:pPr>
      <w:r>
        <w:t xml:space="preserve">Blank template from The Site Book, October 2026. Fill it in for the actual job and site.</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Permit to dig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hse.gov.uk/pubns/books/hsg47.htm" TargetMode="External"/><Relationship Id="rId6" Type="http://schemas.openxmlformats.org/officeDocument/2006/relationships/hyperlink" Target="https://www.hse.gov.uk/pubns/books/hsg250.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Permit to dig: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