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Bdr>
          <w:bottom w:val="single" w:sz="12" w:space="4" w:color="E8541E"/>
        </w:pBdr>
        <w:tabs>
          <w:tab w:val="right" w:pos="10318"/>
        </w:tabs>
        <w:spacing w:after="200"/>
      </w:pPr>
      <w:r>
        <w:rPr>
          <w:b/>
          <w:sz w:val="22"/>
          <w:szCs w:val="22"/>
        </w:rPr>
        <w:t xml:space="preserve">The Site Book</w:t>
      </w:r>
      <w:r>
        <w:t xml:space="preserve">   </w:t>
      </w:r>
      <w:hyperlink r:id="rId4" w:history="1">
        <w:r>
          <w:rPr>
            <w:rStyle w:val="Hyperlink"/>
            <w:sz w:val="17"/>
            <w:szCs w:val="17"/>
          </w:rPr>
          <w:t xml:space="preserve">thesitebook.co.uk</w:t>
        </w:r>
      </w:hyperlink>
      <w:r>
        <w:tab/>
      </w:r>
      <w:r>
        <w:rPr>
          <w:b/>
          <w:color w:val="38465A"/>
          <w:sz w:val="16"/>
          <w:szCs w:val="16"/>
        </w:rPr>
        <w:t xml:space="preserve">BLANK TEMPLATE</w:t>
      </w:r>
    </w:p>
    <w:p>
      <w:pPr>
        <w:pStyle w:val="Title"/>
      </w:pPr>
      <w:r>
        <w:t xml:space="preserve">January site restart checklist</w:t>
      </w:r>
    </w:p>
    <w:p>
      <w:pPr>
        <w:pStyle w:val="Subtitle"/>
      </w:pPr>
      <w:r>
        <w:t xml:space="preserve">Before work starts again after the holidays. Tick each line, or note why it does not apply.</w:t>
      </w:r>
    </w:p>
    <w:tbl>
      <w:tblPr>
        <w:tblW w:w="10318" w:type="dxa"/>
        <w:tblLayout w:type="fixed"/>
        <w:tblBorders>
          <w:top w:val="single" w:sz="6" w:space="0" w:color="8A96A3"/>
          <w:left w:val="single" w:sz="6" w:space="0" w:color="8A96A3"/>
          <w:bottom w:val="single" w:sz="6" w:space="0" w:color="8A96A3"/>
          <w:right w:val="single" w:sz="6" w:space="0" w:color="8A96A3"/>
          <w:insideH w:val="single" w:sz="6" w:space="0" w:color="8A96A3"/>
          <w:insideV w:val="single" w:sz="6" w:space="0" w:color="8A96A3"/>
        </w:tblBorders>
        <w:tblCellMar>
          <w:top w:w="40" w:type="dxa"/>
          <w:left w:w="85" w:type="dxa"/>
          <w:bottom w:w="40" w:type="dxa"/>
          <w:right w:w="85" w:type="dxa"/>
        </w:tblCellMar>
      </w:tblPr>
      <w:tblGrid>
        <w:gridCol w:w="2269"/>
        <w:gridCol w:w="2889"/>
        <w:gridCol w:w="2269"/>
        <w:gridCol w:w="2891"/>
      </w:tblGrid>
      <w:tr>
        <w:trPr>
          <w:cantSplit/>
          <w:trHeight w:val="425" w:hRule="atLeast"/>
        </w:trPr>
        <w:tc>
          <w:tcPr>
            <w:tcW w:w="2269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Site</w:t>
            </w:r>
          </w:p>
        </w:tc>
        <w:tc>
          <w:tcPr>
            <w:tcW w:w="2889" w:type="dxa"/>
          </w:tcPr>
          <w:p>
            <w:pPr>
              <w:pStyle w:val="Cell"/>
            </w:pPr>
          </w:p>
        </w:tc>
        <w:tc>
          <w:tcPr>
            <w:tcW w:w="2269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Checked by</w:t>
            </w: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2269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Restart date</w:t>
            </w:r>
          </w:p>
        </w:tc>
        <w:tc>
          <w:tcPr>
            <w:tcW w:w="2889" w:type="dxa"/>
          </w:tcPr>
          <w:p>
            <w:pPr>
              <w:pStyle w:val="Cell"/>
            </w:pPr>
          </w:p>
        </w:tc>
        <w:tc>
          <w:tcPr>
            <w:tcW w:w="2269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Time</w:t>
            </w: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</w:tbl>
    <w:p>
      <w:pPr>
        <w:spacing w:before="0" w:after="0" w:line="200" w:lineRule="exact"/>
      </w:pPr>
    </w:p>
    <w:tbl>
      <w:tblPr>
        <w:tblW w:w="10318" w:type="dxa"/>
        <w:tblLayout w:type="fixed"/>
        <w:tblBorders>
          <w:top w:val="single" w:sz="6" w:space="0" w:color="8A96A3"/>
          <w:left w:val="single" w:sz="6" w:space="0" w:color="8A96A3"/>
          <w:bottom w:val="single" w:sz="6" w:space="0" w:color="8A96A3"/>
          <w:right w:val="single" w:sz="6" w:space="0" w:color="8A96A3"/>
          <w:insideH w:val="single" w:sz="6" w:space="0" w:color="8A96A3"/>
          <w:insideV w:val="single" w:sz="6" w:space="0" w:color="8A96A3"/>
        </w:tblBorders>
        <w:tblCellMar>
          <w:top w:w="40" w:type="dxa"/>
          <w:left w:w="85" w:type="dxa"/>
          <w:bottom w:w="40" w:type="dxa"/>
          <w:right w:w="85" w:type="dxa"/>
        </w:tblCellMar>
      </w:tblPr>
      <w:tblGrid>
        <w:gridCol w:w="7222"/>
        <w:gridCol w:w="825"/>
        <w:gridCol w:w="2271"/>
      </w:tblGrid>
      <w:tr>
        <w:trPr>
          <w:tblHeader/>
          <w:cantSplit/>
        </w:trPr>
        <w:tc>
          <w:tcPr>
            <w:tcW w:w="7222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Item</w:t>
            </w:r>
          </w:p>
        </w:tc>
        <w:tc>
          <w:tcPr>
            <w:tcW w:w="825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Done</w:t>
            </w:r>
          </w:p>
        </w:tc>
        <w:tc>
          <w:tcPr>
            <w:tcW w:w="2271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Notes</w:t>
            </w:r>
          </w:p>
        </w:tc>
      </w:tr>
      <w:tr>
        <w:trPr>
          <w:cantSplit/>
          <w:trHeight w:val="425" w:hRule="atLeast"/>
        </w:trPr>
        <w:tc>
          <w:tcPr>
            <w:tcW w:w="7222" w:type="dxa"/>
          </w:tcPr>
          <w:p>
            <w:pPr>
              <w:pStyle w:val="Cell"/>
            </w:pPr>
            <w:r>
              <w:rPr>
                <w:b/>
              </w:rPr>
              <w:t xml:space="preserve">Walk the site before anyone starts work. Look for storm damage, break-ins, flooding, frost and anything that has moved. Record what you find.</w:t>
            </w:r>
          </w:p>
        </w:tc>
        <w:tc>
          <w:tcPr>
            <w:tcW w:w="825" w:type="dxa"/>
          </w:tcPr>
          <w:p>
            <w:pPr>
              <w:pStyle w:val="Cell"/>
            </w:pPr>
          </w:p>
        </w:tc>
        <w:tc>
          <w:tcPr>
            <w:tcW w:w="2271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7222" w:type="dxa"/>
          </w:tcPr>
          <w:p>
            <w:pPr>
              <w:pStyle w:val="Cell"/>
            </w:pPr>
            <w:r>
              <w:rPr>
                <w:b/>
              </w:rPr>
              <w:t xml:space="preserve">Every scaffold is inspected by a competent person before use. The last 7-day inspection will be out of date, and high winds call for an inspection too. (WAHR reg 12; HSE)</w:t>
            </w:r>
          </w:p>
        </w:tc>
        <w:tc>
          <w:tcPr>
            <w:tcW w:w="825" w:type="dxa"/>
          </w:tcPr>
          <w:p>
            <w:pPr>
              <w:pStyle w:val="Cell"/>
            </w:pPr>
          </w:p>
        </w:tc>
        <w:tc>
          <w:tcPr>
            <w:tcW w:w="2271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7222" w:type="dxa"/>
          </w:tcPr>
          <w:p>
            <w:pPr>
              <w:pStyle w:val="Cell"/>
            </w:pPr>
            <w:r>
              <w:rPr>
                <w:b/>
              </w:rPr>
              <w:t xml:space="preserve">MEWPs and tower scaffolds are inspected before use after severe weather. (HSE)</w:t>
            </w:r>
          </w:p>
        </w:tc>
        <w:tc>
          <w:tcPr>
            <w:tcW w:w="825" w:type="dxa"/>
          </w:tcPr>
          <w:p>
            <w:pPr>
              <w:pStyle w:val="Cell"/>
            </w:pPr>
          </w:p>
        </w:tc>
        <w:tc>
          <w:tcPr>
            <w:tcW w:w="2271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7222" w:type="dxa"/>
          </w:tcPr>
          <w:p>
            <w:pPr>
              <w:pStyle w:val="Cell"/>
            </w:pPr>
            <w:r>
              <w:rPr>
                <w:b/>
              </w:rPr>
              <w:t xml:space="preserve">Excavations are inspected at the start of the shift and after any event likely to have affected their strength or stability, such as heavy rain or frost. (CDM reg 22(4))</w:t>
            </w:r>
          </w:p>
        </w:tc>
        <w:tc>
          <w:tcPr>
            <w:tcW w:w="825" w:type="dxa"/>
          </w:tcPr>
          <w:p>
            <w:pPr>
              <w:pStyle w:val="Cell"/>
            </w:pPr>
          </w:p>
        </w:tc>
        <w:tc>
          <w:tcPr>
            <w:tcW w:w="2271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7222" w:type="dxa"/>
          </w:tcPr>
          <w:p>
            <w:pPr>
              <w:pStyle w:val="Cell"/>
            </w:pPr>
            <w:r>
              <w:rPr>
                <w:b/>
              </w:rPr>
              <w:t xml:space="preserve">Temporary works are checked by a competent person before anyone loads them or works near them again. (CDM reg 19(2); HSE)</w:t>
            </w:r>
          </w:p>
        </w:tc>
        <w:tc>
          <w:tcPr>
            <w:tcW w:w="825" w:type="dxa"/>
          </w:tcPr>
          <w:p>
            <w:pPr>
              <w:pStyle w:val="Cell"/>
            </w:pPr>
          </w:p>
        </w:tc>
        <w:tc>
          <w:tcPr>
            <w:tcW w:w="2271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7222" w:type="dxa"/>
          </w:tcPr>
          <w:p>
            <w:pPr>
              <w:pStyle w:val="Cell"/>
            </w:pPr>
            <w:r>
              <w:rPr>
                <w:b/>
              </w:rPr>
              <w:t xml:space="preserve">Thorough examination and inspection dates for lifting equipment and plant are still in date. (LOLER reg 9)</w:t>
            </w:r>
          </w:p>
        </w:tc>
        <w:tc>
          <w:tcPr>
            <w:tcW w:w="825" w:type="dxa"/>
          </w:tcPr>
          <w:p>
            <w:pPr>
              <w:pStyle w:val="Cell"/>
            </w:pPr>
          </w:p>
        </w:tc>
        <w:tc>
          <w:tcPr>
            <w:tcW w:w="2271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7222" w:type="dxa"/>
          </w:tcPr>
          <w:p>
            <w:pPr>
              <w:pStyle w:val="Cell"/>
            </w:pPr>
            <w:r>
              <w:rPr>
                <w:b/>
              </w:rPr>
              <w:t xml:space="preserve">Power, water, heating and welfare are working: toilets, washing, drinking water and a warm rest area. (CDM Sch 2)</w:t>
            </w:r>
          </w:p>
        </w:tc>
        <w:tc>
          <w:tcPr>
            <w:tcW w:w="825" w:type="dxa"/>
          </w:tcPr>
          <w:p>
            <w:pPr>
              <w:pStyle w:val="Cell"/>
            </w:pPr>
          </w:p>
        </w:tc>
        <w:tc>
          <w:tcPr>
            <w:tcW w:w="2271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7222" w:type="dxa"/>
          </w:tcPr>
          <w:p>
            <w:pPr>
              <w:pStyle w:val="Cell"/>
            </w:pPr>
            <w:r>
              <w:rPr>
                <w:b/>
              </w:rPr>
              <w:t xml:space="preserve">Risk assessments and RAMS are reviewed, and updated if the work, sequence, team or conditions have changed. (MHSWR reg 3(3))</w:t>
            </w:r>
          </w:p>
        </w:tc>
        <w:tc>
          <w:tcPr>
            <w:tcW w:w="825" w:type="dxa"/>
          </w:tcPr>
          <w:p>
            <w:pPr>
              <w:pStyle w:val="Cell"/>
            </w:pPr>
          </w:p>
        </w:tc>
        <w:tc>
          <w:tcPr>
            <w:tcW w:w="2271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7222" w:type="dxa"/>
          </w:tcPr>
          <w:p>
            <w:pPr>
              <w:pStyle w:val="Cell"/>
            </w:pPr>
            <w:r>
              <w:rPr>
                <w:b/>
              </w:rPr>
              <w:t xml:space="preserve">The construction phase plan is updated if the work, design or programme has changed over the break.</w:t>
            </w:r>
          </w:p>
        </w:tc>
        <w:tc>
          <w:tcPr>
            <w:tcW w:w="825" w:type="dxa"/>
          </w:tcPr>
          <w:p>
            <w:pPr>
              <w:pStyle w:val="Cell"/>
            </w:pPr>
          </w:p>
        </w:tc>
        <w:tc>
          <w:tcPr>
            <w:tcW w:w="2271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7222" w:type="dxa"/>
          </w:tcPr>
          <w:p>
            <w:pPr>
              <w:pStyle w:val="Cell"/>
            </w:pPr>
            <w:r>
              <w:rPr>
                <w:b/>
              </w:rPr>
              <w:t xml:space="preserve">Insurance has renewed: employers' liability if you have employees, and any public liability or contract works cover. The current certificates are to hand. (HSE)</w:t>
            </w:r>
          </w:p>
        </w:tc>
        <w:tc>
          <w:tcPr>
            <w:tcW w:w="825" w:type="dxa"/>
          </w:tcPr>
          <w:p>
            <w:pPr>
              <w:pStyle w:val="Cell"/>
            </w:pPr>
          </w:p>
        </w:tc>
        <w:tc>
          <w:tcPr>
            <w:tcW w:w="2271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7222" w:type="dxa"/>
          </w:tcPr>
          <w:p>
            <w:pPr>
              <w:pStyle w:val="Cell"/>
            </w:pPr>
            <w:r>
              <w:rPr>
                <w:b/>
              </w:rPr>
              <w:t xml:space="preserve">Workers' CSCS or other scheme cards are still in date. Check them with CSCS Smart Check, not by eye.</w:t>
            </w:r>
          </w:p>
        </w:tc>
        <w:tc>
          <w:tcPr>
            <w:tcW w:w="825" w:type="dxa"/>
          </w:tcPr>
          <w:p>
            <w:pPr>
              <w:pStyle w:val="Cell"/>
            </w:pPr>
          </w:p>
        </w:tc>
        <w:tc>
          <w:tcPr>
            <w:tcW w:w="2271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7222" w:type="dxa"/>
          </w:tcPr>
          <w:p>
            <w:pPr>
              <w:pStyle w:val="Cell"/>
            </w:pPr>
            <w:r>
              <w:rPr>
                <w:b/>
              </w:rPr>
              <w:t xml:space="preserve">Training and tickets that expired over the break are renewed, for example first aid and plant operator cards.</w:t>
            </w:r>
          </w:p>
        </w:tc>
        <w:tc>
          <w:tcPr>
            <w:tcW w:w="825" w:type="dxa"/>
          </w:tcPr>
          <w:p>
            <w:pPr>
              <w:pStyle w:val="Cell"/>
            </w:pPr>
          </w:p>
        </w:tc>
        <w:tc>
          <w:tcPr>
            <w:tcW w:w="2271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7222" w:type="dxa"/>
          </w:tcPr>
          <w:p>
            <w:pPr>
              <w:pStyle w:val="Cell"/>
            </w:pPr>
            <w:r>
              <w:rPr>
                <w:b/>
              </w:rPr>
              <w:t xml:space="preserve">Anyone new to the site gets a site induction before they start. Everyone else gets a short restart briefing on what has changed. (CDM reg 15(9))</w:t>
            </w:r>
          </w:p>
        </w:tc>
        <w:tc>
          <w:tcPr>
            <w:tcW w:w="825" w:type="dxa"/>
          </w:tcPr>
          <w:p>
            <w:pPr>
              <w:pStyle w:val="Cell"/>
            </w:pPr>
          </w:p>
        </w:tc>
        <w:tc>
          <w:tcPr>
            <w:tcW w:w="2271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7222" w:type="dxa"/>
          </w:tcPr>
          <w:p>
            <w:pPr>
              <w:pStyle w:val="Cell"/>
            </w:pPr>
            <w:r>
              <w:rPr>
                <w:b/>
              </w:rPr>
              <w:t xml:space="preserve">A restart toolbox talk covers ice, frost, dark mornings, storm damage and anything still out of use.</w:t>
            </w:r>
          </w:p>
        </w:tc>
        <w:tc>
          <w:tcPr>
            <w:tcW w:w="825" w:type="dxa"/>
          </w:tcPr>
          <w:p>
            <w:pPr>
              <w:pStyle w:val="Cell"/>
            </w:pPr>
          </w:p>
        </w:tc>
        <w:tc>
          <w:tcPr>
            <w:tcW w:w="2271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7222" w:type="dxa"/>
          </w:tcPr>
          <w:p>
            <w:pPr>
              <w:pStyle w:val="Cell"/>
            </w:pPr>
            <w:r>
              <w:rPr>
                <w:b/>
              </w:rPr>
              <w:t xml:space="preserve">Emergency arrangements are still right: first aiders on site, contact numbers, the nearest A&amp;E, fire points and the assembly point.</w:t>
            </w:r>
          </w:p>
        </w:tc>
        <w:tc>
          <w:tcPr>
            <w:tcW w:w="825" w:type="dxa"/>
          </w:tcPr>
          <w:p>
            <w:pPr>
              <w:pStyle w:val="Cell"/>
            </w:pPr>
          </w:p>
        </w:tc>
        <w:tc>
          <w:tcPr>
            <w:tcW w:w="2271" w:type="dxa"/>
          </w:tcPr>
          <w:p>
            <w:pPr>
              <w:pStyle w:val="Cell"/>
            </w:pPr>
          </w:p>
        </w:tc>
      </w:tr>
    </w:tbl>
    <w:p>
      <w:pPr>
        <w:spacing w:before="0" w:after="0" w:line="200" w:lineRule="exact"/>
      </w:pPr>
    </w:p>
    <w:tbl>
      <w:tblPr>
        <w:tblW w:w="10318" w:type="dxa"/>
        <w:tblLayout w:type="fixed"/>
        <w:tblBorders>
          <w:top w:val="single" w:sz="6" w:space="0" w:color="8A96A3"/>
          <w:left w:val="single" w:sz="6" w:space="0" w:color="8A96A3"/>
          <w:bottom w:val="single" w:sz="6" w:space="0" w:color="8A96A3"/>
          <w:right w:val="single" w:sz="6" w:space="0" w:color="8A96A3"/>
          <w:insideH w:val="single" w:sz="6" w:space="0" w:color="8A96A3"/>
          <w:insideV w:val="single" w:sz="6" w:space="0" w:color="8A96A3"/>
        </w:tblBorders>
        <w:tblCellMar>
          <w:top w:w="40" w:type="dxa"/>
          <w:left w:w="85" w:type="dxa"/>
          <w:bottom w:w="40" w:type="dxa"/>
          <w:right w:w="85" w:type="dxa"/>
        </w:tblCellMar>
      </w:tblPr>
      <w:tblGrid>
        <w:gridCol w:w="10318"/>
      </w:tblGrid>
      <w:tr>
        <w:trPr>
          <w:cantSplit/>
        </w:trPr>
        <w:tc>
          <w:tcPr>
            <w:tcW w:w="10318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Damage or problems found, and what was done</w:t>
            </w:r>
          </w:p>
        </w:tc>
      </w:tr>
      <w:tr>
        <w:trPr>
          <w:cantSplit/>
          <w:trHeight w:val="2280" w:hRule="atLeast"/>
        </w:trPr>
        <w:tc>
          <w:tcPr>
            <w:tcW w:w="10318" w:type="dxa"/>
          </w:tcPr>
          <w:p>
            <w:pPr>
              <w:pStyle w:val="Cell"/>
            </w:pPr>
          </w:p>
        </w:tc>
      </w:tr>
    </w:tbl>
    <w:p>
      <w:pPr>
        <w:spacing w:before="0" w:after="0" w:line="200" w:lineRule="exact"/>
      </w:pPr>
    </w:p>
    <w:p>
      <w:pPr>
        <w:pStyle w:val="Small"/>
        <w:pBdr>
          <w:top w:val="single" w:sz="6" w:space="6" w:color="8A96A3"/>
        </w:pBdr>
        <w:spacing w:before="240" w:after="60"/>
      </w:pPr>
      <w:r>
        <w:rPr>
          <w:b/>
          <w:color w:val="16202C"/>
        </w:rPr>
        <w:t xml:space="preserve">Based on: </w:t>
      </w:r>
      <w:r>
        <w:t xml:space="preserve">The Work at Height Regulations 2005, regulation 12; The Construction (Design and Management) Regulations 2015, regulations 15, 19 and 22 and Schedule 2; LOLER 1998, regulation 9; The Management of Health and Safety at Work Regulations 1999, regulation 3; HSE, Scaffolds; HSE, MEWPs; HSE, Temporary works; HSE, Get insurance for your business.</w:t>
      </w:r>
    </w:p>
    <w:p>
      <w:pPr>
        <w:pStyle w:val="Small"/>
        <w:spacing w:after="20"/>
        <w:ind w:left="227"/>
      </w:pPr>
      <w:r>
        <w:t xml:space="preserve">Work at Height Regulations 2005, regulation 12: </w:t>
      </w:r>
      <w:hyperlink r:id="rId5" w:history="1">
        <w:r>
          <w:rPr>
            <w:rStyle w:val="Hyperlink"/>
            <w:sz w:val="16"/>
            <w:szCs w:val="16"/>
          </w:rPr>
          <w:t xml:space="preserve">https://www.legislation.gov.uk/uksi/2005/735/regulation/12</w:t>
        </w:r>
      </w:hyperlink>
    </w:p>
    <w:p>
      <w:pPr>
        <w:pStyle w:val="Small"/>
        <w:spacing w:after="20"/>
        <w:ind w:left="227"/>
      </w:pPr>
      <w:r>
        <w:t xml:space="preserve">CDM 2015, regulation 15: </w:t>
      </w:r>
      <w:hyperlink r:id="rId6" w:history="1">
        <w:r>
          <w:rPr>
            <w:rStyle w:val="Hyperlink"/>
            <w:sz w:val="16"/>
            <w:szCs w:val="16"/>
          </w:rPr>
          <w:t xml:space="preserve">https://www.legislation.gov.uk/uksi/2015/51/regulation/15</w:t>
        </w:r>
      </w:hyperlink>
    </w:p>
    <w:p>
      <w:pPr>
        <w:pStyle w:val="Small"/>
        <w:spacing w:after="20"/>
        <w:ind w:left="227"/>
      </w:pPr>
      <w:r>
        <w:t xml:space="preserve">CDM 2015, regulation 19: </w:t>
      </w:r>
      <w:hyperlink r:id="rId7" w:history="1">
        <w:r>
          <w:rPr>
            <w:rStyle w:val="Hyperlink"/>
            <w:sz w:val="16"/>
            <w:szCs w:val="16"/>
          </w:rPr>
          <w:t xml:space="preserve">https://www.legislation.gov.uk/uksi/2015/51/regulation/19</w:t>
        </w:r>
      </w:hyperlink>
    </w:p>
    <w:p>
      <w:pPr>
        <w:pStyle w:val="Small"/>
        <w:spacing w:after="20"/>
        <w:ind w:left="227"/>
      </w:pPr>
      <w:r>
        <w:t xml:space="preserve">CDM 2015, regulation 22: </w:t>
      </w:r>
      <w:hyperlink r:id="rId8" w:history="1">
        <w:r>
          <w:rPr>
            <w:rStyle w:val="Hyperlink"/>
            <w:sz w:val="16"/>
            <w:szCs w:val="16"/>
          </w:rPr>
          <w:t xml:space="preserve">https://www.legislation.gov.uk/uksi/2015/51/regulation/22</w:t>
        </w:r>
      </w:hyperlink>
    </w:p>
    <w:p>
      <w:pPr>
        <w:pStyle w:val="Small"/>
        <w:spacing w:after="20"/>
        <w:ind w:left="227"/>
      </w:pPr>
      <w:r>
        <w:t xml:space="preserve">CDM 2015, Schedule 2: </w:t>
      </w:r>
      <w:hyperlink r:id="rId9" w:history="1">
        <w:r>
          <w:rPr>
            <w:rStyle w:val="Hyperlink"/>
            <w:sz w:val="16"/>
            <w:szCs w:val="16"/>
          </w:rPr>
          <w:t xml:space="preserve">https://www.legislation.gov.uk/uksi/2015/51/schedule/2</w:t>
        </w:r>
      </w:hyperlink>
    </w:p>
    <w:p>
      <w:pPr>
        <w:pStyle w:val="Small"/>
        <w:spacing w:after="20"/>
        <w:ind w:left="227"/>
      </w:pPr>
      <w:r>
        <w:t xml:space="preserve">Lifting Operations and Lifting Equipment Regulations 1998, regulation 9: </w:t>
      </w:r>
      <w:hyperlink r:id="rId10" w:history="1">
        <w:r>
          <w:rPr>
            <w:rStyle w:val="Hyperlink"/>
            <w:sz w:val="16"/>
            <w:szCs w:val="16"/>
          </w:rPr>
          <w:t xml:space="preserve">https://www.legislation.gov.uk/uksi/1998/2307/regulation/9</w:t>
        </w:r>
      </w:hyperlink>
    </w:p>
    <w:p>
      <w:pPr>
        <w:pStyle w:val="Small"/>
        <w:spacing w:after="20"/>
        <w:ind w:left="227"/>
      </w:pPr>
      <w:r>
        <w:t xml:space="preserve">Management of Health and Safety at Work Regulations 1999, regulation 3: </w:t>
      </w:r>
      <w:hyperlink r:id="rId11" w:history="1">
        <w:r>
          <w:rPr>
            <w:rStyle w:val="Hyperlink"/>
            <w:sz w:val="16"/>
            <w:szCs w:val="16"/>
          </w:rPr>
          <w:t xml:space="preserve">https://www.legislation.gov.uk/uksi/1999/3242/regulation/3</w:t>
        </w:r>
      </w:hyperlink>
    </w:p>
    <w:p>
      <w:pPr>
        <w:pStyle w:val="Small"/>
        <w:spacing w:after="20"/>
        <w:ind w:left="227"/>
      </w:pPr>
      <w:r>
        <w:t xml:space="preserve">HSE, Scaffolds: </w:t>
      </w:r>
      <w:hyperlink r:id="rId12" w:history="1">
        <w:r>
          <w:rPr>
            <w:rStyle w:val="Hyperlink"/>
            <w:sz w:val="16"/>
            <w:szCs w:val="16"/>
          </w:rPr>
          <w:t xml:space="preserve">https://www.hse.gov.uk/construction/safetytopics/scaffoldinginfo.htm</w:t>
        </w:r>
      </w:hyperlink>
    </w:p>
    <w:p>
      <w:pPr>
        <w:pStyle w:val="Small"/>
        <w:spacing w:after="20"/>
        <w:ind w:left="227"/>
      </w:pPr>
      <w:r>
        <w:t xml:space="preserve">HSE, Mobile elevating work platforms (MEWPs): </w:t>
      </w:r>
      <w:hyperlink r:id="rId13" w:history="1">
        <w:r>
          <w:rPr>
            <w:rStyle w:val="Hyperlink"/>
            <w:sz w:val="16"/>
            <w:szCs w:val="16"/>
          </w:rPr>
          <w:t xml:space="preserve">https://www.hse.gov.uk/construction/safetytopics/mewp.htm</w:t>
        </w:r>
      </w:hyperlink>
    </w:p>
    <w:p>
      <w:pPr>
        <w:pStyle w:val="Small"/>
        <w:spacing w:after="20"/>
        <w:ind w:left="227"/>
      </w:pPr>
      <w:r>
        <w:t xml:space="preserve">HSE, Temporary works: </w:t>
      </w:r>
      <w:hyperlink r:id="rId14" w:history="1">
        <w:r>
          <w:rPr>
            <w:rStyle w:val="Hyperlink"/>
            <w:sz w:val="16"/>
            <w:szCs w:val="16"/>
          </w:rPr>
          <w:t xml:space="preserve">https://www.hse.gov.uk/construction/safetytopics/temporary-works.htm</w:t>
        </w:r>
      </w:hyperlink>
    </w:p>
    <w:p>
      <w:pPr>
        <w:pStyle w:val="Small"/>
        <w:spacing w:after="20"/>
        <w:ind w:left="227"/>
      </w:pPr>
      <w:r>
        <w:t xml:space="preserve">HSE, Get insurance for your business: </w:t>
      </w:r>
      <w:hyperlink r:id="rId15" w:history="1">
        <w:r>
          <w:rPr>
            <w:rStyle w:val="Hyperlink"/>
            <w:sz w:val="16"/>
            <w:szCs w:val="16"/>
          </w:rPr>
          <w:t xml:space="preserve">https://www.hse.gov.uk/simple-health-safety/insurance/index.htm</w:t>
        </w:r>
      </w:hyperlink>
    </w:p>
    <w:p>
      <w:pPr>
        <w:pStyle w:val="Small"/>
        <w:spacing w:before="60"/>
      </w:pPr>
      <w:r>
        <w:t xml:space="preserve">Blank template from The Site Book, October 2026. Fill it in for the actual job and site.</w:t>
      </w:r>
    </w:p>
    <w:sectPr>
      <w:footerReference w:type="default" r:id="rId3"/>
      <w:pgSz w:w="11906" w:h="16838"/>
      <w:pgMar w:top="794" w:right="794" w:bottom="907" w:left="794" w:header="454" w:footer="454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10318"/>
      </w:tabs>
      <w:spacing w:after="0"/>
    </w:pPr>
    <w:r>
      <w:rPr>
        <w:color w:val="38465A"/>
        <w:sz w:val="14"/>
        <w:szCs w:val="14"/>
      </w:rPr>
      <w:t xml:space="preserve">The Site Book · </w:t>
    </w:r>
    <w:hyperlink r:id="rId1" w:history="1">
      <w:r>
        <w:rPr>
          <w:rStyle w:val="Hyperlink"/>
          <w:sz w:val="14"/>
          <w:szCs w:val="14"/>
        </w:rPr>
        <w:t xml:space="preserve">thesitebook.co.uk</w:t>
      </w:r>
    </w:hyperlink>
    <w:r>
      <w:rPr>
        <w:color w:val="38465A"/>
        <w:sz w:val="14"/>
        <w:szCs w:val="14"/>
      </w:rPr>
      <w:t xml:space="preserve"> · January site restart checklist (blank template, October 2026)</w:t>
    </w:r>
    <w:r>
      <w:tab/>
    </w:r>
    <w:r>
      <w:rPr>
        <w:color w:val="38465A"/>
        <w:sz w:val="14"/>
        <w:szCs w:val="14"/>
      </w:rPr>
      <w:t xml:space="preserve">Page </w:t>
    </w:r>
    <w:r>
      <w:rPr>
        <w:color w:val="38465A"/>
        <w:sz w:val="14"/>
        <w:szCs w:val="14"/>
      </w:rPr>
      <w:fldChar w:fldCharType="begin"/>
    </w:r>
    <w:r>
      <w:rPr>
        <w:color w:val="38465A"/>
        <w:sz w:val="14"/>
        <w:szCs w:val="14"/>
      </w:rPr>
      <w:instrText xml:space="preserve"> PAGE </w:instrText>
    </w:r>
    <w:r>
      <w:rPr>
        <w:color w:val="38465A"/>
        <w:sz w:val="14"/>
        <w:szCs w:val="14"/>
      </w:rPr>
      <w:fldChar w:fldCharType="separate"/>
    </w:r>
    <w:r>
      <w:rPr>
        <w:color w:val="38465A"/>
        <w:sz w:val="14"/>
        <w:szCs w:val="14"/>
      </w:rPr>
      <w:t>1</w:t>
    </w:r>
    <w:r>
      <w:rPr>
        <w:color w:val="38465A"/>
        <w:sz w:val="14"/>
        <w:szCs w:val="14"/>
      </w:rPr>
      <w:fldChar w:fldCharType="end"/>
    </w:r>
    <w:r>
      <w:rPr>
        <w:color w:val="38465A"/>
        <w:sz w:val="14"/>
        <w:szCs w:val="14"/>
      </w:rPr>
      <w:t xml:space="preserve"> of </w:t>
    </w:r>
    <w:r>
      <w:rPr>
        <w:color w:val="38465A"/>
        <w:sz w:val="14"/>
        <w:szCs w:val="14"/>
      </w:rPr>
      <w:fldChar w:fldCharType="begin"/>
    </w:r>
    <w:r>
      <w:rPr>
        <w:color w:val="38465A"/>
        <w:sz w:val="14"/>
        <w:szCs w:val="14"/>
      </w:rPr>
      <w:instrText xml:space="preserve"> NUMPAGES </w:instrText>
    </w:r>
    <w:r>
      <w:rPr>
        <w:color w:val="38465A"/>
        <w:sz w:val="14"/>
        <w:szCs w:val="14"/>
      </w:rPr>
      <w:fldChar w:fldCharType="separate"/>
    </w:r>
    <w:r>
      <w:rPr>
        <w:color w:val="38465A"/>
        <w:sz w:val="14"/>
        <w:szCs w:val="14"/>
      </w:rPr>
      <w:t>1</w:t>
    </w:r>
    <w:r>
      <w:rPr>
        <w:color w:val="38465A"/>
        <w:sz w:val="14"/>
        <w:szCs w:val="14"/>
      </w:rPr>
      <w:fldChar w:fldCharType="end"/>
    </w:r>
  </w:p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6202C"/>
        <w:sz w:val="19"/>
        <w:szCs w:val="19"/>
        <w:lang w:val="en-GB" w:eastAsia="en-GB" w:bidi="ar-SA"/>
      </w:rPr>
    </w:rPrDefault>
    <w:pPrDefault>
      <w:pPr>
        <w:spacing w:after="80" w:line="252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before="0" w:after="60"/>
    </w:pPr>
    <w:rPr>
      <w:b/>
      <w:sz w:val="36"/>
      <w:szCs w:val="36"/>
    </w:rPr>
  </w:style>
  <w:style w:type="paragraph" w:styleId="Subtitle">
    <w:name w:val="Subtitle"/>
    <w:basedOn w:val="Normal"/>
    <w:next w:val="Normal"/>
    <w:qFormat/>
    <w:pPr>
      <w:spacing w:after="200"/>
    </w:pPr>
    <w:rPr>
      <w:color w:val="38465A"/>
    </w:rPr>
  </w:style>
  <w:style w:type="paragraph" w:styleId="Heading1">
    <w:name w:val="heading 1"/>
    <w:basedOn w:val="Normal"/>
    <w:next w:val="Normal"/>
    <w:qFormat/>
    <w:pPr>
      <w:keepNext/>
      <w:keepLines/>
      <w:spacing w:before="240" w:after="100"/>
      <w:outlineLvl w:val="0"/>
    </w:pPr>
    <w:rPr>
      <w:b/>
      <w:color w:val="C5410F"/>
      <w:sz w:val="23"/>
      <w:szCs w:val="23"/>
    </w:rPr>
  </w:style>
  <w:style w:type="paragraph" w:customStyle="1" w:styleId="Prompt">
    <w:name w:val="Prompt"/>
    <w:basedOn w:val="Normal"/>
    <w:qFormat/>
    <w:pPr>
      <w:keepNext/>
    </w:pPr>
    <w:rPr>
      <w:i/>
      <w:color w:val="38465A"/>
    </w:rPr>
  </w:style>
  <w:style w:type="paragraph" w:customStyle="1" w:styleId="Small">
    <w:name w:val="Small"/>
    <w:basedOn w:val="Normal"/>
    <w:rPr>
      <w:color w:val="38465A"/>
      <w:sz w:val="16"/>
      <w:szCs w:val="16"/>
    </w:rPr>
  </w:style>
  <w:style w:type="paragraph" w:customStyle="1" w:styleId="Cell">
    <w:name w:val="Table text"/>
    <w:basedOn w:val="Normal"/>
    <w:pPr>
      <w:spacing w:after="0" w:line="240" w:lineRule="auto"/>
    </w:pPr>
    <w:rPr>
      <w:sz w:val="17"/>
      <w:szCs w:val="17"/>
    </w:rPr>
  </w:style>
  <w:style w:type="character" w:styleId="Hyperlink">
    <w:name w:val="Hyperlink"/>
    <w:rPr>
      <w:color w:val="C5410F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Relationship Id="rId4" Type="http://schemas.openxmlformats.org/officeDocument/2006/relationships/hyperlink" Target="https://thesitebook.co.uk" TargetMode="External"/><Relationship Id="rId5" Type="http://schemas.openxmlformats.org/officeDocument/2006/relationships/hyperlink" Target="https://www.legislation.gov.uk/uksi/2005/735/regulation/12" TargetMode="External"/><Relationship Id="rId6" Type="http://schemas.openxmlformats.org/officeDocument/2006/relationships/hyperlink" Target="https://www.legislation.gov.uk/uksi/2015/51/regulation/15" TargetMode="External"/><Relationship Id="rId7" Type="http://schemas.openxmlformats.org/officeDocument/2006/relationships/hyperlink" Target="https://www.legislation.gov.uk/uksi/2015/51/regulation/19" TargetMode="External"/><Relationship Id="rId8" Type="http://schemas.openxmlformats.org/officeDocument/2006/relationships/hyperlink" Target="https://www.legislation.gov.uk/uksi/2015/51/regulation/22" TargetMode="External"/><Relationship Id="rId9" Type="http://schemas.openxmlformats.org/officeDocument/2006/relationships/hyperlink" Target="https://www.legislation.gov.uk/uksi/2015/51/schedule/2" TargetMode="External"/><Relationship Id="rId10" Type="http://schemas.openxmlformats.org/officeDocument/2006/relationships/hyperlink" Target="https://www.legislation.gov.uk/uksi/1998/2307/regulation/9" TargetMode="External"/><Relationship Id="rId11" Type="http://schemas.openxmlformats.org/officeDocument/2006/relationships/hyperlink" Target="https://www.legislation.gov.uk/uksi/1999/3242/regulation/3" TargetMode="External"/><Relationship Id="rId12" Type="http://schemas.openxmlformats.org/officeDocument/2006/relationships/hyperlink" Target="https://www.hse.gov.uk/construction/safetytopics/scaffoldinginfo.htm" TargetMode="External"/><Relationship Id="rId13" Type="http://schemas.openxmlformats.org/officeDocument/2006/relationships/hyperlink" Target="https://www.hse.gov.uk/construction/safetytopics/mewp.htm" TargetMode="External"/><Relationship Id="rId14" Type="http://schemas.openxmlformats.org/officeDocument/2006/relationships/hyperlink" Target="https://www.hse.gov.uk/construction/safetytopics/temporary-works.htm" TargetMode="External"/><Relationship Id="rId15" Type="http://schemas.openxmlformats.org/officeDocument/2006/relationships/hyperlink" Target="https://www.hse.gov.uk/simple-health-safety/insurance/index.htm" TargetMode="Externa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thesitebook.co.uk" TargetMode="External"/></Relationships>
</file>

<file path=docProps/app.xml><?xml version="1.0" encoding="utf-8"?>
<Properties xmlns="http://schemas.openxmlformats.org/officeDocument/2006/extended-properties">
  <Application>The Site Book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January site restart checklist: blank template</dc:title>
  <dc:creator>The Site Book</dc:creator>
  <cp:lastModifiedBy>The Site Book</cp:lastModifiedBy>
  <dc:language>en-GB</dc:language>
  <dcterms:created xsi:type="dcterms:W3CDTF">2026-10-01T00:00:00Z</dcterms:created>
  <dcterms:modified xsi:type="dcterms:W3CDTF">2026-10-01T00:00:00Z</dcterms:modified>
</cp:coreProperties>
</file>